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146 vom 10. April 2026</w:t>
      </w:r>
    </w:p>
    <w:p>
      <w:r>
        <w:t>BE Obergericht, 2026-04-10, DE</w:t>
      </w:r>
    </w:p>
    <w:p>
      <w:r>
        <w:rPr>
          <w:b/>
        </w:rPr>
        <w:t xml:space="preserve">Quelle: </w:t>
      </w:r>
      <w:r>
        <w:t>https://mcp.opencaselaw.ch/entscheid/be_zivilstraf_SK 2025 146</w:t>
      </w:r>
    </w:p>
    <w:p>
      <w:r>
        <w:t>FR: BE_ZIVILSTRAF SK 2025 146 du 10 avril 2026</w:t>
      </w:r>
    </w:p>
    <w:p>
      <w:r>
        <w:t>IT: BE_ZIVILSTRAF SK 2025 146 del 10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 (Einzelgericht; nachfolgend: Vorinstanz) fällte am 5. Dezember 2024 über A.________ (nachfolgend: Beschuldigter) nach- stehendes Urteil (pag. 325 ff.; Hervorhebungen im Original, Auslassungen in Klammern): A. Die Gerichtspräsidentin erkennt: A.________ wird schuldig erklärt: Der einfachen Verletzung von Verkehrsregeln durch Überschreiten der signalisierten Höchst- geschwindigkeit ausserorts um 3 km/h (Kontrollschild Motorrad D.________ (Kennzeichen)) began- gen am 22.04.2022, 18:31 Uhr in Seedorf, Bernstrasse; und in Anwendung der Art. 47, 106 StGB Art. 27 Abs. 1, 32, 90 Abs. 1 SVG Art. 4a Abs. 1 Bst. b VRV Art. 22, 108 SSV Ziff. 303 Abs. 2 Bst. b des Anhang 1 OBV Art. 422 ff., 426 Abs. 3 Bst. a StPO verurteilt: Zu einer Übertretungsbusse von CHF 40.00. Die Ersatzfreiheitsstrafe bei schuldhafter Nichtbezah- lung wird auf 1 Tag festgesetzt. Unter Ausrichtung einer Entschädigung an A.________ von CHF 6'802.15 für die angemessene Ausübung seiner Verfahrensrechte, sowie einer Entschädigung an A.________ von CHF 114.40 für die wirtschaftlichen Einbussen, die ihm aus der notwendigen Beteiligung am Strafverfahren entstanden sind, sowie unter Auferlegung der anteilsmässigen Verfahrenskosten, sich zusammensetzend aus Ge- bühren von CHF 3'300.00 und Auslagen von CHF 2'476.60, insgesamt bestimmt auf CHF 5’776.60, an den Kanton Bern. [Tabelle Verfahrenskosten und reduzierte Kosten ohne schriftliche Begründung] In Bst. B ihres Urteils erklärte die Vorinstanz den im gleichen (zuvor vereinigten) Verfahren beurteilten C.________ der zur gleichen Zeit und am gleichen Ort be- gangenen groben Verkehrsregelverletzung durch Überschreiten der signalisierten Höchstgeschwindigkeit ausserorts um 37 km/h (Kontrollschild Motorrad E.________ (Kennzeichen)) schuldig. Hierfür verurteilte sie diesen zu einer beding- ten Geldstrafe von 30 Tagessätzen zu CHF 80.00 bei einer Probezeit von zwei Jahren, zu einer Verbindungsbusse von CHF 600.00 sowie zur Tragung der an- teilsmässigen Verfahrenskosten von CHF 5‘826.60.</w:t>
      </w:r>
    </w:p>
    <w:p>
      <w:r>
        <w:rPr>
          <w:b/>
        </w:rPr>
        <w:t>E. 3</w:t>
      </w:r>
    </w:p>
    <w:p>
      <w:r>
        <w:t>Oberinstanzliches Beweisergänzungsverfahren Von Amtes wegen wurden oberinstanzlich ein Auszug Administrativmassnahmen aus dem eidgenössischen Informationssystem Verkehrszulassung (IVZ) des Bun- desamts für Strassen ASTRA (datierend vom 14. Januar 2026, pag. 457), ein aktu- eller Betreibungs- und Strafregisterauszug (datierend vom 12. Januar 2026 bzw. 14. Januar 2026, pag. 455 bzw. pag. 456) sowie ein Formular über die wirtschaftli- chen Verhältnisse (datierend vom 23. Dezember 2025, pag. 452 ff.) über den Be- schuldigten eingeholt. Zudem wurden beim Strassenverkehrs- und Schifffahrtsamt (SVSA) des Kantons Bern die über den Beschuldigten vorhandenen Akten ediert (pag. 424 ff.). An der Berufungsverhandlung wurde der Beschuldigte schliesslich ergänzend ein- vernommen (pag. 461 ff.).</w:t>
      </w:r>
    </w:p>
    <w:p>
      <w:r>
        <w:rPr>
          <w:b/>
        </w:rPr>
        <w:t>E. 4</w:t>
      </w:r>
    </w:p>
    <w:p>
      <w:r>
        <w:t>Anträge der Parteien</w:t>
      </w:r>
    </w:p>
    <w:p>
      <w:r>
        <w:rPr>
          <w:b/>
        </w:rPr>
        <w:t>E. 4.1</w:t>
      </w:r>
    </w:p>
    <w:p>
      <w:r>
        <w:t>Generalstaatsanwaltschaft Für die Generalstaatsanwaltschaft beantragte und begründete Staatsanwältin F.________ an der Berufungsverhandlung was folgt (pag. 469; Hervorhebungen im Original, Anmerkungen der Kammer in eckigen Klammern): I. A.________ sei schuldig zu erklären der groben Verletzung der Verkehrsregeln durch Über- schreiten der Höchstgeschwindigkeit ausserorts um 37 km/h, begangen am 22. April 2022 in Seedorf. II. A.________ sei in Anwendung von Art. 34, 42 Abs. 1, 44, 47, 106 StGB, Art. 27 Abs. 1, 32 und 90 Abs. 2 SVG, Art. 4a Abs. 1 Bst. b VRV, Art. 22, Art. 108 SSV; Art. 426 ff. StPO zu verurteilen: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